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CE7735" w:rsidRPr="00CE7735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22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CE77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CE7735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CE7735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CE7735" w:rsidRPr="00CE7735" w:rsidRDefault="00CE7735" w:rsidP="00CE773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CE7735" w:rsidRPr="00CE7735" w:rsidRDefault="00CE7735" w:rsidP="00CE773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ԿԱՌԱՎԱՐՄԱՆ ՀԻՄՆԱՐԿՆԵՐԻ ՀԱՄԱՐ</w:t>
      </w:r>
    </w:p>
    <w:p w:rsidR="00CE7735" w:rsidRPr="00CE7735" w:rsidRDefault="00CE7735" w:rsidP="00CE7735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CE7735">
        <w:rPr>
          <w:rFonts w:ascii="Calibri" w:eastAsia="Times New Roman" w:hAnsi="Calibri" w:cs="Calibri"/>
          <w:color w:val="000000"/>
        </w:rPr>
        <w:t> 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>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CE7735" w:rsidRPr="00CE7735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E7735">
                    <w:rPr>
                      <w:rFonts w:ascii="Calibri" w:eastAsia="Times New Roman" w:hAnsi="Calibri" w:cs="Calibri"/>
                    </w:rPr>
                    <w:t> </w:t>
                  </w:r>
                  <w:r w:rsidRPr="00CE7735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E7735">
                    <w:rPr>
                      <w:rFonts w:ascii="Calibri" w:eastAsia="Times New Roman" w:hAnsi="Calibri" w:cs="Calibri"/>
                    </w:rPr>
                    <w:t> </w:t>
                  </w:r>
                  <w:r w:rsidRPr="00CE7735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CE7735">
                    <w:rPr>
                      <w:rFonts w:ascii="Calibri" w:eastAsia="Times New Roman" w:hAnsi="Calibri" w:cs="Calibri"/>
                    </w:rPr>
                    <w:t> </w:t>
                  </w:r>
                  <w:r w:rsidRPr="00CE7735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CE7735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CE7735" w:rsidRPr="00CE7735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7735" w:rsidRPr="00CE7735" w:rsidRDefault="00CE773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E773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7735" w:rsidRPr="00CE7735" w:rsidRDefault="00CE773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E773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7735" w:rsidRPr="00CE7735" w:rsidRDefault="00CE773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E773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7735" w:rsidRPr="00CE7735" w:rsidRDefault="00CE773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E773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7735" w:rsidRPr="00CE7735" w:rsidRDefault="00CE773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E773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7735" w:rsidRPr="00CE7735" w:rsidRDefault="00CE773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E773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7735" w:rsidRPr="00CE7735" w:rsidRDefault="00CE773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E773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E7735" w:rsidRPr="00CE7735" w:rsidRDefault="00CE7735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CE7735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CE7735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CE7735" w:rsidRPr="00CE7735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7735" w:rsidRPr="00CE7735" w:rsidRDefault="00CE7735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CE7735" w:rsidRPr="00CE7735" w:rsidRDefault="00CE7735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CE7735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Ստուգման hանձնարարագիր ___________ ում կողմից _______________________________________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lastRenderedPageBreak/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ԿԱՌԱՎԱՐՄԱՆ ՀԻՄՆԱՐԿՆԵՐԻ ՀԱՄԱՐ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457"/>
        <w:gridCol w:w="367"/>
        <w:gridCol w:w="257"/>
        <w:gridCol w:w="433"/>
        <w:gridCol w:w="1497"/>
        <w:gridCol w:w="1312"/>
        <w:gridCol w:w="1138"/>
        <w:gridCol w:w="864"/>
      </w:tblGrid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Բնակելի, հասարակական և արտադրական նշանակության շենքերից և շինություններից մինչև կառավարման հիմնարկները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Տարահանման ելքի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գլուխ 3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Տարահանման ուղիներում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Սանդղավանդակները յուրաքանչյուր հարկում` արտաքին պատերում ունեն 1,2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ոչ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պակաս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լուսաբացվածքներ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15 մետրից ավելի բարձրությամբ շենքերի միջանցքների լուսաթափանցելիությունն ապահովվելու նպատակով սանդղավանդակների դռների բացվածքների վրա տեղադրված են ամրանավորված ապակիներ: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Առավելագույն հեռավորությունը կառավարման հիմնարկությունների սենքերի դռներից մինչև սանդղավանդակի կամ անմիջապես դուրս տանող ելքի դուռը չի գերազանցում 60 մետրը: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60 աղյ.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60 մետրից ավելի երկարությամբ միջանցքներն առավելագույնը 60 մետրը մեկ բաժանված են 2-րդ տեսակի հակահրդեհային պատնեշներով և հակահրդեհային դռներով: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Տարահանման ելքերի առլույս բարձրությունը կազմում է ոչ պակաս քան 1,9 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Տարահանման ուղիների հատակի վրա 45 սմ-ից պակաս անկումները սարքավորված են 3-ից ոչ պակաս աստիճանով կամ 1:6 ոչ ավելի թեքհարթակով: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 մետր և ավելի բարձրությամբ շենքերն ապահովված են սանդղավանդակներից անմիջապես տանիքածածկ տանող ելքերով: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22</w:t>
            </w:r>
            <w:r w:rsidRPr="00CE7735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4, կետ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22</w:t>
            </w:r>
            <w:r w:rsidRPr="00CE7735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գլուխ 2, կետ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10, «7», գլուխ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6, կետեր 208,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Լուսատուներից մինչև այրվող նյութերից պատրաստված կառուցվածքները և իրերը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պահպանված է ոչ պակաս 0,5 մետր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«1», բաժին I, գլուխ 4,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դրանց մոտակայքում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(200 մ շառավղով) նախատեսված է առնվազն 1 հրշեջ հիդրանտ կամ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նվազագույնը 54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հակահրդեհային ջրավազան: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«6», գլուխ 5,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կետեր 29, 45,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գլուխ 11, կետ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602 և գլուխ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12, 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«4»,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«4»,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Ներքին հակահրդեհային ջրամատակարարման ցանցի վրա տեղակայված հրշեջ ծորակները համալրված են փողակներով և փողրակներով: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կառավարման հիմնարկները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Կախված մակերեսի չափերից կառավարման հիմնարկները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Հակահրդեհային ինքնաշխատ համակարգից հրդեհի տագնապի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I, գլուխ 7, կետեր</w:t>
            </w:r>
          </w:p>
          <w:p w:rsidR="00CE7735" w:rsidRPr="00CE7735" w:rsidRDefault="00CE7735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«2»,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«2»,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CE7735" w:rsidRPr="00CE7735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CE7735">
        <w:rPr>
          <w:rFonts w:ascii="GHEA Grapalat" w:eastAsia="Times New Roman" w:hAnsi="GHEA Grapalat" w:cs="Times New Roman"/>
          <w:color w:val="000000"/>
        </w:rPr>
        <w:t>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lastRenderedPageBreak/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«2» - «Տեխնիկական անվտանգության ապահովման պետական կարգավորման մասին» ՀՀ օրենք ընդունված է 2005 թվականի հոկտեմբերի 24-ին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«3» - ՀՀՇՆ 30-01-2023 «Քաղաքաշինություն. Քաղաքային և գյուղական բնակավայրերի հատակագծում և կառուցապատում»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«4» - ՀՀՇՆ 40-01.01-2014 «Շենքերի ներքին ջրամատակարարում և ջրահեռացում»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«6» - ՀՀՇՆ 40.01.02-2020 «Ջրամատակարարում. Արտաքին ցանցեր և կառուցվածքներ»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«7» - ՀՀՇՆ 22-03-2017 «Արհեստական և բնական լուսավորում»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52"/>
        <w:gridCol w:w="1639"/>
        <w:gridCol w:w="2519"/>
      </w:tblGrid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Կախված շինության հրակայունության աստիճանից հեռավորությունը, մ,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Շենքերի օրինակելի կոնստրուկտիվ բնութագրերը.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033"/>
      </w:tblGrid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Կոնստրուկտիվ բնութագրերը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II*- Ոչ պակաս քան տարահանման երկու ելք պետք է ունենան.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ա)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CE7735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E7735">
        <w:rPr>
          <w:rFonts w:ascii="Calibri" w:eastAsia="Times New Roman" w:hAnsi="Calibri" w:cs="Calibri"/>
          <w:color w:val="000000"/>
        </w:rPr>
        <w:t> </w:t>
      </w:r>
      <w:r w:rsidRPr="00CE7735">
        <w:rPr>
          <w:rFonts w:ascii="GHEA Grapalat" w:eastAsia="Times New Roman" w:hAnsi="GHEA Grapalat" w:cs="GHEA Grapalat"/>
          <w:color w:val="000000"/>
        </w:rPr>
        <w:t>ավելի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մակերեսով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սենքերը</w:t>
      </w:r>
      <w:r w:rsidRPr="00CE7735">
        <w:rPr>
          <w:rFonts w:ascii="GHEA Grapalat" w:eastAsia="Times New Roman" w:hAnsi="GHEA Grapalat" w:cs="Times New Roman"/>
          <w:color w:val="000000"/>
        </w:rPr>
        <w:t>,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դ) արդյունաբերական և պահեստային շենքերի, կառուցվածքների բաց հարկաշարերը և հարթակները, նախատեսված սարքավորման սպասարկման համար, Ա և Բ կարգի սենքերի </w:t>
      </w:r>
      <w:r w:rsidRPr="00CE7735">
        <w:rPr>
          <w:rFonts w:ascii="GHEA Grapalat" w:eastAsia="Times New Roman" w:hAnsi="GHEA Grapalat" w:cs="Times New Roman"/>
          <w:color w:val="000000"/>
        </w:rPr>
        <w:lastRenderedPageBreak/>
        <w:t>համար - 100 մ</w:t>
      </w:r>
      <w:r w:rsidRPr="00CE7735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E7735">
        <w:rPr>
          <w:rFonts w:ascii="Calibri" w:eastAsia="Times New Roman" w:hAnsi="Calibri" w:cs="Calibri"/>
          <w:color w:val="000000"/>
        </w:rPr>
        <w:t> </w:t>
      </w:r>
      <w:r w:rsidRPr="00CE7735">
        <w:rPr>
          <w:rFonts w:ascii="GHEA Grapalat" w:eastAsia="Times New Roman" w:hAnsi="GHEA Grapalat" w:cs="GHEA Grapalat"/>
          <w:color w:val="000000"/>
        </w:rPr>
        <w:t>ավելի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հարկաբաժնի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հատակի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մակերեսի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դեպքում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և</w:t>
      </w:r>
      <w:r w:rsidRPr="00CE7735">
        <w:rPr>
          <w:rFonts w:ascii="GHEA Grapalat" w:eastAsia="Times New Roman" w:hAnsi="GHEA Grapalat" w:cs="Times New Roman"/>
          <w:color w:val="000000"/>
        </w:rPr>
        <w:t xml:space="preserve"> 400 </w:t>
      </w:r>
      <w:r w:rsidRPr="00CE7735">
        <w:rPr>
          <w:rFonts w:ascii="GHEA Grapalat" w:eastAsia="Times New Roman" w:hAnsi="GHEA Grapalat" w:cs="GHEA Grapalat"/>
          <w:color w:val="000000"/>
        </w:rPr>
        <w:t>մ</w:t>
      </w:r>
      <w:r w:rsidRPr="00CE7735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CE7735">
        <w:rPr>
          <w:rFonts w:ascii="Calibri" w:eastAsia="Times New Roman" w:hAnsi="Calibri" w:cs="Calibri"/>
          <w:color w:val="000000"/>
        </w:rPr>
        <w:t> </w:t>
      </w:r>
      <w:r w:rsidRPr="00CE7735">
        <w:rPr>
          <w:rFonts w:ascii="GHEA Grapalat" w:eastAsia="Times New Roman" w:hAnsi="GHEA Grapalat" w:cs="GHEA Grapalat"/>
          <w:color w:val="000000"/>
        </w:rPr>
        <w:t>ավելի</w:t>
      </w:r>
      <w:r w:rsidRPr="00CE7735">
        <w:rPr>
          <w:rFonts w:ascii="GHEA Grapalat" w:eastAsia="Times New Roman" w:hAnsi="GHEA Grapalat" w:cs="Times New Roman"/>
          <w:color w:val="000000"/>
        </w:rPr>
        <w:t xml:space="preserve"> - </w:t>
      </w:r>
      <w:r w:rsidRPr="00CE7735">
        <w:rPr>
          <w:rFonts w:ascii="GHEA Grapalat" w:eastAsia="Times New Roman" w:hAnsi="GHEA Grapalat" w:cs="GHEA Grapalat"/>
          <w:color w:val="000000"/>
        </w:rPr>
        <w:t>այլ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կարգի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սենքերի</w:t>
      </w:r>
      <w:r w:rsidRPr="00CE7735">
        <w:rPr>
          <w:rFonts w:ascii="GHEA Grapalat" w:eastAsia="Times New Roman" w:hAnsi="GHEA Grapalat" w:cs="Times New Roman"/>
          <w:color w:val="000000"/>
        </w:rPr>
        <w:t xml:space="preserve"> </w:t>
      </w:r>
      <w:r w:rsidRPr="00CE7735">
        <w:rPr>
          <w:rFonts w:ascii="GHEA Grapalat" w:eastAsia="Times New Roman" w:hAnsi="GHEA Grapalat" w:cs="GHEA Grapalat"/>
          <w:color w:val="000000"/>
        </w:rPr>
        <w:t>համար</w:t>
      </w:r>
      <w:r w:rsidRPr="00CE7735">
        <w:rPr>
          <w:rFonts w:ascii="GHEA Grapalat" w:eastAsia="Times New Roman" w:hAnsi="GHEA Grapalat" w:cs="Times New Roman"/>
          <w:color w:val="000000"/>
        </w:rPr>
        <w:t>,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III*-Հրդեհաշիջման և հրդեհի ազդանշանման ինքնաշխատ համակարգերով օբյեկտների համալրման չափանիշներն են.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3406"/>
        <w:gridCol w:w="1369"/>
      </w:tblGrid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1. 30 մ-ից ավելի բարձրությամբ շենքեր (բացառությամբ բնակելի և հրդեհային անվտանգության</w:t>
            </w: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  <w:r w:rsidRPr="00CE773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«Գ» և «Դ» կարգի</w:t>
            </w:r>
            <w:r w:rsidRPr="00CE773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>արտադրական շենքերից):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2. Այրելի պոլիմերային ջերմամեկուսիչներով և մետաղական թեթև կառուցատարրերով միահարկ շենքեր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2.1. Հասարակական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800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`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համաձայն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«Բնակելի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շենքեր»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ՍՆիՊ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2.08.01-89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շինարարական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նորմի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1.34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կետի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800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2.2. Վարչակենցաղային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E7735">
              <w:rPr>
                <w:rFonts w:ascii="Calibri" w:eastAsia="Times New Roman" w:hAnsi="Calibri" w:cs="Calibri"/>
                <w:color w:val="000000"/>
              </w:rPr>
              <w:t> 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E7735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3. Հասարակական և վարչակենցաղային նշանակության շենքեր (բացառությամբ` սույն հավելվածի 11 և 13 կետերում նշվածներից)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IV*- Շենքերը և շինությունները ձեռքի կրակմարիչներով ապահովելու չափանիշները ներկայացված են ստոր և ներկայացված աղյուսակներում.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0"/>
        <w:gridCol w:w="424"/>
        <w:gridCol w:w="596"/>
        <w:gridCol w:w="550"/>
        <w:gridCol w:w="1570"/>
        <w:gridCol w:w="467"/>
        <w:gridCol w:w="703"/>
      </w:tblGrid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Փրփրային և ջրային կրակմարիչներ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10 լ տարողութ-յամբ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Փոշային կրակմարիչներ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տարողութ-յամբ,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Ֆրեոնային կրակմարիչներ 2(3) լ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տարողութ-յամբ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Ածխա-թթվային կրակ-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մարիչներ, տարողութ-յամբ լ.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CE7735">
        <w:rPr>
          <w:rFonts w:ascii="Calibri" w:eastAsia="Times New Roman" w:hAnsi="Calibri" w:cs="Calibri"/>
          <w:color w:val="000000"/>
        </w:rPr>
        <w:t> </w:t>
      </w:r>
      <w:r w:rsidRPr="00CE7735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CE7735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 xml:space="preserve">Օդափրփրային կրակմարիչներ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(փրփուր)100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Համակցված կրակմարիչներ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Փոշե կրակմարիչներ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Ածխաթթվային կրակմարիչներ, </w:t>
            </w:r>
            <w:r w:rsidRPr="00CE7735">
              <w:rPr>
                <w:rFonts w:ascii="GHEA Grapalat" w:eastAsia="Times New Roman" w:hAnsi="GHEA Grapalat" w:cs="Times New Roman"/>
                <w:color w:val="000000"/>
              </w:rPr>
              <w:lastRenderedPageBreak/>
              <w:t>տարողությամբ լ.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CE7735" w:rsidRPr="00CE7735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7735" w:rsidRPr="00CE7735" w:rsidRDefault="00CE7735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E7735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1) «A» դասի համար`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>E) փոշի.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>E) կամ ABC(E) փոշի.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color w:val="000000"/>
        </w:rPr>
        <w:t>ԿԱՌԱՎԱՐՄԱՆ ՀԻՄՆԱՐԿՆԵՐԻ ՍՏՈՒԳԱԹԵՐԹԻ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i/>
          <w:iCs/>
          <w:color w:val="000000"/>
        </w:rPr>
        <w:t>1)</w:t>
      </w:r>
      <w:r w:rsidRPr="00CE7735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E7735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proofErr w:type="gramEnd"/>
      <w:r w:rsidRPr="00CE7735">
        <w:rPr>
          <w:rFonts w:ascii="GHEA Grapalat" w:eastAsia="Times New Roman" w:hAnsi="GHEA Grapalat" w:cs="Times New Roman"/>
          <w:i/>
          <w:iCs/>
          <w:color w:val="000000"/>
        </w:rPr>
        <w:t xml:space="preserve"> նյութ`</w:t>
      </w:r>
      <w:r w:rsidRPr="00CE7735">
        <w:rPr>
          <w:rFonts w:ascii="Calibri" w:eastAsia="Times New Roman" w:hAnsi="Calibri" w:cs="Calibri"/>
          <w:i/>
          <w:iCs/>
          <w:color w:val="000000"/>
        </w:rPr>
        <w:t> </w:t>
      </w:r>
      <w:r w:rsidRPr="00CE7735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CE7735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E7735">
        <w:rPr>
          <w:rFonts w:ascii="GHEA Grapalat" w:eastAsia="Times New Roman" w:hAnsi="GHEA Grapalat" w:cs="GHEA Grapalat"/>
          <w:i/>
          <w:iCs/>
          <w:color w:val="000000"/>
        </w:rPr>
        <w:t>հակահրդեհ</w:t>
      </w:r>
      <w:r w:rsidRPr="00CE7735">
        <w:rPr>
          <w:rFonts w:ascii="GHEA Grapalat" w:eastAsia="Times New Roman" w:hAnsi="GHEA Grapalat" w:cs="Times New Roman"/>
          <w:i/>
          <w:iCs/>
          <w:color w:val="000000"/>
        </w:rPr>
        <w:t>ային</w:t>
      </w:r>
      <w:proofErr w:type="gramEnd"/>
      <w:r w:rsidRPr="00CE7735">
        <w:rPr>
          <w:rFonts w:ascii="GHEA Grapalat" w:eastAsia="Times New Roman" w:hAnsi="GHEA Grapalat" w:cs="Times New Roman"/>
          <w:i/>
          <w:iCs/>
          <w:color w:val="000000"/>
        </w:rPr>
        <w:t xml:space="preserve"> միջտարածություն`</w:t>
      </w:r>
      <w:r w:rsidRPr="00CE7735">
        <w:rPr>
          <w:rFonts w:ascii="Calibri" w:eastAsia="Times New Roman" w:hAnsi="Calibri" w:cs="Calibri"/>
          <w:i/>
          <w:iCs/>
          <w:color w:val="000000"/>
        </w:rPr>
        <w:t> </w:t>
      </w:r>
      <w:r w:rsidRPr="00CE7735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lastRenderedPageBreak/>
        <w:t xml:space="preserve">3)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և հրդեհի ազդանշանման ինքնաշխատ կայանքներ (ՀՀԱ</w:t>
      </w:r>
      <w:r w:rsidRPr="00CE7735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E7735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4</w:t>
      </w:r>
      <w:r w:rsidRPr="00CE7735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CE7735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տագնապի ազդարարման ինքնաշխատ համակարգ (ՀՏԱ</w:t>
      </w:r>
      <w:r w:rsidRPr="00CE7735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E7735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5)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տագնապի ազդանշանի փոխանցման ինքնաշխատ համակարգ (ՀՏԱՓ</w:t>
      </w:r>
      <w:r w:rsidRPr="00CE7735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CE7735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>6)</w:t>
      </w:r>
      <w:r w:rsidRPr="00CE7735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լիազոր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մարմին` Հայաստանի Հանրապետության ներքին գործերի նախարարություն.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7)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սկզբնական միջոցներ՝ կրակմարիչներ, արկղ ավազով, դույլ, բահ, կեռաձող, կացին.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color w:val="000000"/>
        </w:rPr>
        <w:t xml:space="preserve">8) </w:t>
      </w:r>
      <w:proofErr w:type="gramStart"/>
      <w:r w:rsidRPr="00CE7735">
        <w:rPr>
          <w:rFonts w:ascii="GHEA Grapalat" w:eastAsia="Times New Roman" w:hAnsi="GHEA Grapalat" w:cs="Times New Roman"/>
          <w:color w:val="000000"/>
        </w:rPr>
        <w:t>հատուկ</w:t>
      </w:r>
      <w:proofErr w:type="gramEnd"/>
      <w:r w:rsidRPr="00CE7735">
        <w:rPr>
          <w:rFonts w:ascii="GHEA Grapalat" w:eastAsia="Times New Roman" w:hAnsi="GHEA Grapalat" w:cs="Times New Roman"/>
          <w:color w:val="000000"/>
        </w:rPr>
        <w:t xml:space="preserve"> նշանակության սենքեր` դրամարկղային, արխիվային, պահեստային սենքեր: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CE7735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CE7735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 փոփ., լրաց., խմբ. 18.01.24 N 88-Ն)</w:t>
      </w:r>
    </w:p>
    <w:p w:rsidR="00CE7735" w:rsidRPr="00CE7735" w:rsidRDefault="00CE7735" w:rsidP="00CE7735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CE7735">
        <w:rPr>
          <w:rFonts w:ascii="Calibri" w:eastAsia="Times New Roman" w:hAnsi="Calibri" w:cs="Calibri"/>
          <w:color w:val="000000"/>
        </w:rPr>
        <w:t> </w:t>
      </w:r>
    </w:p>
    <w:bookmarkEnd w:id="0"/>
    <w:p w:rsidR="00B62CC0" w:rsidRPr="00CE7735" w:rsidRDefault="00B62CC0" w:rsidP="00CE7735">
      <w:pPr>
        <w:rPr>
          <w:rFonts w:ascii="GHEA Grapalat" w:hAnsi="GHEA Grapalat"/>
        </w:rPr>
      </w:pPr>
    </w:p>
    <w:sectPr w:rsidR="00B62CC0" w:rsidRPr="00CE7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C4"/>
    <w:rsid w:val="00B62CC0"/>
    <w:rsid w:val="00CE7735"/>
    <w:rsid w:val="00F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29BAB-94DE-472A-8396-D2D8F5F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50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F250C4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250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F250C4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250C4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F250C4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F250C4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F250C4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F250C4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0C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250C4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250C4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250C4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250C4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F250C4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F250C4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F250C4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F250C4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F2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250C4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F250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250C4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F250C4"/>
  </w:style>
  <w:style w:type="paragraph" w:styleId="BalloonText">
    <w:name w:val="Balloon Text"/>
    <w:basedOn w:val="Normal"/>
    <w:link w:val="BalloonTextChar"/>
    <w:uiPriority w:val="99"/>
    <w:semiHidden/>
    <w:unhideWhenUsed/>
    <w:rsid w:val="00F250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C4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F2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250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F250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F250C4"/>
  </w:style>
  <w:style w:type="paragraph" w:styleId="Header">
    <w:name w:val="header"/>
    <w:basedOn w:val="Normal"/>
    <w:link w:val="HeaderChar"/>
    <w:unhideWhenUsed/>
    <w:rsid w:val="00F250C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50C4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250C4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F250C4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F250C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F250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F250C4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250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F250C4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F250C4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F250C4"/>
    <w:rPr>
      <w:color w:val="808080"/>
    </w:rPr>
  </w:style>
  <w:style w:type="paragraph" w:styleId="NoSpacing">
    <w:name w:val="No Spacing"/>
    <w:link w:val="NoSpacingChar"/>
    <w:qFormat/>
    <w:rsid w:val="00F250C4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F250C4"/>
    <w:rPr>
      <w:rFonts w:cs="Times New Roman"/>
      <w:color w:val="0000FF"/>
      <w:u w:val="single"/>
    </w:rPr>
  </w:style>
  <w:style w:type="character" w:styleId="FollowedHyperlink">
    <w:name w:val="FollowedHyperlink"/>
    <w:rsid w:val="00F250C4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F250C4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F250C4"/>
  </w:style>
  <w:style w:type="paragraph" w:styleId="BodyTextIndent">
    <w:name w:val="Body Text Indent"/>
    <w:basedOn w:val="Normal"/>
    <w:link w:val="BodyTextIndentChar"/>
    <w:rsid w:val="00F250C4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250C4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250C4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50C4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F250C4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250C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250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50C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F250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F250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F250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F250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F250C4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F250C4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F250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F250C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F250C4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F250C4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F2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F250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F250C4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F250C4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F250C4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F250C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F250C4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F250C4"/>
  </w:style>
  <w:style w:type="character" w:customStyle="1" w:styleId="CharChar3">
    <w:name w:val="Char Char3"/>
    <w:rsid w:val="00F250C4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F250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F250C4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F2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F2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F250C4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F25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250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2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0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250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CE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2024-03-01T08:04:00Z</dcterms:created>
  <dcterms:modified xsi:type="dcterms:W3CDTF">2024-03-01T08:04:00Z</dcterms:modified>
</cp:coreProperties>
</file>